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before="0" w:after="0" w:line="240" w:lineRule="auto"/>
        <w:rPr>
          <w:rFonts w:ascii="Times New Roman" w:hAnsi="Times New Roman" w:eastAsia="宋体"/>
        </w:rPr>
      </w:pPr>
      <w:bookmarkStart w:id="0" w:name="_Toc436883457"/>
      <w:bookmarkStart w:id="1" w:name="_Toc390356276"/>
      <w:bookmarkStart w:id="2" w:name="_Toc436554334"/>
      <w:bookmarkStart w:id="3" w:name="_Toc361936947"/>
      <w:bookmarkStart w:id="4" w:name="_Toc365885757"/>
      <w:bookmarkStart w:id="5" w:name="_Toc9101"/>
      <w:bookmarkStart w:id="6" w:name="_Toc453514561"/>
      <w:r>
        <w:rPr>
          <w:rFonts w:ascii="Times New Roman" w:hAnsi="Times New Roman" w:eastAsia="宋体"/>
        </w:rPr>
        <w:t>表6-1学生数量基本情况</w:t>
      </w:r>
      <w:bookmarkEnd w:id="0"/>
      <w:bookmarkEnd w:id="1"/>
      <w:bookmarkEnd w:id="2"/>
      <w:bookmarkEnd w:id="3"/>
      <w:bookmarkEnd w:id="4"/>
      <w:r>
        <w:rPr>
          <w:rFonts w:ascii="Times New Roman" w:hAnsi="Times New Roman" w:eastAsia="宋体"/>
        </w:rPr>
        <w:t>（时点）</w:t>
      </w:r>
      <w:bookmarkEnd w:id="5"/>
      <w:bookmarkEnd w:id="6"/>
    </w:p>
    <w:tbl>
      <w:tblPr>
        <w:tblStyle w:val="4"/>
        <w:tblW w:w="10740" w:type="dxa"/>
        <w:tblInd w:w="0" w:type="dxa"/>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535"/>
        <w:gridCol w:w="3102"/>
        <w:gridCol w:w="5103"/>
      </w:tblGrid>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jc w:val="center"/>
              <w:rPr>
                <w:rFonts w:ascii="Times New Roman" w:hAnsi="Times New Roman" w:cs="Times New Roman"/>
                <w:b/>
                <w:bCs/>
              </w:rPr>
            </w:pPr>
            <w:r>
              <w:rPr>
                <w:rFonts w:ascii="Times New Roman" w:hAnsi="Times New Roman" w:cs="Times New Roman"/>
                <w:b/>
                <w:bCs/>
              </w:rPr>
              <w:t>分类</w:t>
            </w:r>
          </w:p>
        </w:tc>
        <w:tc>
          <w:tcPr>
            <w:tcW w:w="5103" w:type="dxa"/>
            <w:vAlign w:val="center"/>
          </w:tcPr>
          <w:p>
            <w:pPr>
              <w:adjustRightInd w:val="0"/>
              <w:snapToGrid w:val="0"/>
              <w:jc w:val="center"/>
              <w:rPr>
                <w:rFonts w:ascii="Times New Roman" w:hAnsi="Times New Roman" w:cs="Times New Roman"/>
                <w:b/>
                <w:bCs/>
              </w:rPr>
            </w:pPr>
            <w:r>
              <w:rPr>
                <w:rFonts w:ascii="Times New Roman" w:hAnsi="Times New Roman" w:cs="Times New Roman"/>
                <w:b/>
                <w:bCs/>
              </w:rPr>
              <w:t>人数</w:t>
            </w: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1.普通本科学生数（人）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jc w:val="right"/>
              <w:rPr>
                <w:rFonts w:ascii="Times New Roman" w:hAnsi="Times New Roman" w:cs="Times New Roman"/>
                <w:b/>
                <w:bCs/>
              </w:rPr>
            </w:pPr>
            <w:r>
              <w:rPr>
                <w:rFonts w:ascii="Times New Roman" w:hAnsi="Times New Roman" w:cs="Times New Roman"/>
                <w:b/>
                <w:bCs/>
              </w:rPr>
              <w:t>其中：与国（境）外大学联合培养的学生数</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jc w:val="right"/>
              <w:rPr>
                <w:rFonts w:ascii="Times New Roman" w:hAnsi="Times New Roman" w:cs="Times New Roman"/>
                <w:b/>
                <w:bCs/>
              </w:rPr>
            </w:pPr>
            <w:r>
              <w:rPr>
                <w:rFonts w:hint="eastAsia" w:ascii="Times New Roman" w:hAnsi="Times New Roman" w:cs="Times New Roman"/>
                <w:b/>
                <w:bCs/>
              </w:rPr>
              <w:t>其中：第二学士学位学生数</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2.普通高职（含专科）学生数（人）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jc w:val="left"/>
              <w:rPr>
                <w:rFonts w:ascii="Times New Roman" w:hAnsi="Times New Roman" w:cs="Times New Roman"/>
              </w:rPr>
            </w:pPr>
            <w:r>
              <w:rPr>
                <w:rFonts w:ascii="Times New Roman" w:hAnsi="Times New Roman" w:cs="Times New Roman"/>
                <w:b/>
                <w:bCs/>
              </w:rPr>
              <w:t>3.硕士研究生数（人）</w:t>
            </w:r>
          </w:p>
        </w:tc>
        <w:tc>
          <w:tcPr>
            <w:tcW w:w="5103" w:type="dxa"/>
            <w:vAlign w:val="center"/>
          </w:tcPr>
          <w:p>
            <w:pPr>
              <w:adjustRightInd w:val="0"/>
              <w:snapToGrid w:val="0"/>
              <w:jc w:val="center"/>
              <w:rPr>
                <w:rFonts w:ascii="Times New Roman" w:hAnsi="Times New Roman" w:cs="Times New Roman"/>
              </w:rPr>
            </w:pPr>
            <w:r>
              <w:rPr>
                <w:rFonts w:ascii="Times New Roman" w:hAnsi="Times New Roman" w:cs="Times New Roman"/>
              </w:rPr>
              <w:t>自动计算</w:t>
            </w: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316" w:firstLineChars="150"/>
              <w:jc w:val="left"/>
              <w:rPr>
                <w:rFonts w:ascii="Times New Roman" w:hAnsi="Times New Roman" w:cs="Times New Roman"/>
                <w:b/>
              </w:rPr>
            </w:pPr>
            <w:r>
              <w:rPr>
                <w:rFonts w:ascii="Times New Roman" w:hAnsi="Times New Roman" w:cs="Times New Roman"/>
                <w:b/>
              </w:rPr>
              <w:t>其中:全日制</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738" w:firstLineChars="350"/>
              <w:jc w:val="left"/>
              <w:rPr>
                <w:rFonts w:ascii="Times New Roman" w:hAnsi="Times New Roman" w:cs="Times New Roman"/>
                <w:b/>
              </w:rPr>
            </w:pPr>
            <w:r>
              <w:rPr>
                <w:rFonts w:ascii="Times New Roman" w:hAnsi="Times New Roman" w:cs="Times New Roman"/>
                <w:b/>
              </w:rPr>
              <w:t>非全日制</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4.博士研究生数（人）</w:t>
            </w:r>
          </w:p>
        </w:tc>
        <w:tc>
          <w:tcPr>
            <w:tcW w:w="5103" w:type="dxa"/>
            <w:vAlign w:val="center"/>
          </w:tcPr>
          <w:p>
            <w:pPr>
              <w:adjustRightInd w:val="0"/>
              <w:snapToGrid w:val="0"/>
              <w:jc w:val="center"/>
              <w:rPr>
                <w:rFonts w:ascii="Times New Roman" w:hAnsi="Times New Roman" w:cs="Times New Roman"/>
              </w:rPr>
            </w:pPr>
            <w:r>
              <w:rPr>
                <w:rFonts w:ascii="Times New Roman" w:hAnsi="Times New Roman" w:cs="Times New Roman"/>
              </w:rPr>
              <w:t>自动计算</w:t>
            </w: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316" w:firstLineChars="150"/>
              <w:jc w:val="left"/>
              <w:rPr>
                <w:rFonts w:ascii="Times New Roman" w:hAnsi="Times New Roman" w:cs="Times New Roman"/>
                <w:b/>
              </w:rPr>
            </w:pPr>
            <w:r>
              <w:rPr>
                <w:rFonts w:ascii="Times New Roman" w:hAnsi="Times New Roman" w:cs="Times New Roman"/>
                <w:b/>
              </w:rPr>
              <w:t>其中:全日制</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738" w:firstLineChars="350"/>
              <w:jc w:val="left"/>
              <w:rPr>
                <w:rFonts w:ascii="Times New Roman" w:hAnsi="Times New Roman" w:cs="Times New Roman"/>
                <w:b/>
              </w:rPr>
            </w:pPr>
            <w:r>
              <w:rPr>
                <w:rFonts w:ascii="Times New Roman" w:hAnsi="Times New Roman" w:cs="Times New Roman"/>
                <w:b/>
              </w:rPr>
              <w:t>非全日制</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5.留学生数（人）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restart"/>
            <w:vAlign w:val="center"/>
          </w:tcPr>
          <w:p>
            <w:pPr>
              <w:adjustRightInd w:val="0"/>
              <w:snapToGrid w:val="0"/>
              <w:ind w:firstLine="207" w:firstLineChars="98"/>
              <w:rPr>
                <w:rFonts w:ascii="Times New Roman" w:hAnsi="Times New Roman" w:cs="Times New Roman"/>
                <w:b/>
                <w:bCs/>
              </w:rPr>
            </w:pPr>
            <w:r>
              <w:rPr>
                <w:rFonts w:hint="eastAsia" w:ascii="Times New Roman" w:hAnsi="Times New Roman" w:cs="Times New Roman"/>
                <w:b/>
                <w:bCs/>
              </w:rPr>
              <w:t>本科生数</w:t>
            </w:r>
          </w:p>
        </w:tc>
        <w:tc>
          <w:tcPr>
            <w:tcW w:w="3102" w:type="dxa"/>
            <w:vAlign w:val="center"/>
          </w:tcPr>
          <w:p>
            <w:pPr>
              <w:adjustRightInd w:val="0"/>
              <w:snapToGrid w:val="0"/>
              <w:ind w:firstLine="207" w:firstLineChars="98"/>
              <w:rPr>
                <w:rFonts w:ascii="Times New Roman" w:hAnsi="Times New Roman" w:cs="Times New Roman"/>
                <w:b/>
                <w:bCs/>
              </w:rPr>
            </w:pPr>
            <w:r>
              <w:rPr>
                <w:rFonts w:hint="eastAsia" w:ascii="Times New Roman" w:hAnsi="Times New Roman" w:cs="Times New Roman"/>
                <w:b/>
                <w:bCs/>
              </w:rPr>
              <w:t>学历教育</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continue"/>
            <w:vAlign w:val="center"/>
          </w:tcPr>
          <w:p>
            <w:pPr>
              <w:adjustRightInd w:val="0"/>
              <w:snapToGrid w:val="0"/>
              <w:ind w:firstLine="207" w:firstLineChars="98"/>
              <w:rPr>
                <w:rFonts w:ascii="Times New Roman" w:hAnsi="Times New Roman" w:cs="Times New Roman"/>
                <w:b/>
                <w:bCs/>
              </w:rPr>
            </w:pPr>
          </w:p>
        </w:tc>
        <w:tc>
          <w:tcPr>
            <w:tcW w:w="3102" w:type="dxa"/>
            <w:vAlign w:val="center"/>
          </w:tcPr>
          <w:p>
            <w:pPr>
              <w:adjustRightInd w:val="0"/>
              <w:snapToGrid w:val="0"/>
              <w:ind w:firstLine="207" w:firstLineChars="98"/>
              <w:rPr>
                <w:rFonts w:ascii="Times New Roman" w:hAnsi="Times New Roman" w:cs="Times New Roman"/>
                <w:b/>
                <w:bCs/>
              </w:rPr>
            </w:pPr>
            <w:r>
              <w:rPr>
                <w:rFonts w:hint="eastAsia" w:ascii="Times New Roman" w:hAnsi="Times New Roman" w:cs="Times New Roman"/>
                <w:b/>
                <w:bCs/>
              </w:rPr>
              <w:t>非学历教育</w:t>
            </w:r>
          </w:p>
        </w:tc>
        <w:tc>
          <w:tcPr>
            <w:tcW w:w="5103" w:type="dxa"/>
            <w:vAlign w:val="center"/>
          </w:tcPr>
          <w:p>
            <w:pPr>
              <w:adjustRightInd w:val="0"/>
              <w:snapToGrid w:val="0"/>
              <w:ind w:firstLine="207" w:firstLineChars="98"/>
              <w:rPr>
                <w:rFonts w:ascii="Times New Roman" w:hAnsi="Times New Roman" w:cs="Times New Roman"/>
                <w:b/>
                <w:bCs/>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restart"/>
            <w:vAlign w:val="center"/>
          </w:tcPr>
          <w:p>
            <w:pPr>
              <w:adjustRightInd w:val="0"/>
              <w:snapToGrid w:val="0"/>
              <w:ind w:firstLine="207" w:firstLineChars="98"/>
              <w:rPr>
                <w:rFonts w:ascii="Times New Roman" w:hAnsi="Times New Roman" w:cs="Times New Roman"/>
                <w:b/>
                <w:bCs/>
              </w:rPr>
            </w:pPr>
            <w:r>
              <w:rPr>
                <w:rFonts w:hint="eastAsia" w:ascii="Times New Roman" w:hAnsi="Times New Roman" w:cs="Times New Roman"/>
                <w:b/>
                <w:bCs/>
              </w:rPr>
              <w:t>硕士研究生数</w:t>
            </w:r>
          </w:p>
        </w:tc>
        <w:tc>
          <w:tcPr>
            <w:tcW w:w="3102" w:type="dxa"/>
            <w:vAlign w:val="center"/>
          </w:tcPr>
          <w:p>
            <w:pPr>
              <w:adjustRightInd w:val="0"/>
              <w:snapToGrid w:val="0"/>
              <w:ind w:firstLine="207" w:firstLineChars="98"/>
              <w:rPr>
                <w:rFonts w:ascii="Times New Roman" w:hAnsi="Times New Roman" w:cs="Times New Roman"/>
                <w:b/>
                <w:bCs/>
              </w:rPr>
            </w:pPr>
            <w:r>
              <w:rPr>
                <w:rFonts w:hint="eastAsia" w:ascii="Times New Roman" w:hAnsi="Times New Roman" w:cs="Times New Roman"/>
                <w:b/>
                <w:bCs/>
              </w:rPr>
              <w:t>学历教育</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continue"/>
            <w:vAlign w:val="center"/>
          </w:tcPr>
          <w:p>
            <w:pPr>
              <w:adjustRightInd w:val="0"/>
              <w:snapToGrid w:val="0"/>
              <w:ind w:firstLine="207" w:firstLineChars="98"/>
              <w:rPr>
                <w:rFonts w:ascii="Times New Roman" w:hAnsi="Times New Roman" w:cs="Times New Roman"/>
                <w:b/>
                <w:bCs/>
              </w:rPr>
            </w:pPr>
          </w:p>
        </w:tc>
        <w:tc>
          <w:tcPr>
            <w:tcW w:w="3102" w:type="dxa"/>
            <w:vAlign w:val="center"/>
          </w:tcPr>
          <w:p>
            <w:pPr>
              <w:adjustRightInd w:val="0"/>
              <w:snapToGrid w:val="0"/>
              <w:ind w:firstLine="207" w:firstLineChars="98"/>
              <w:rPr>
                <w:rFonts w:ascii="Times New Roman" w:hAnsi="Times New Roman" w:cs="Times New Roman"/>
                <w:b/>
                <w:bCs/>
              </w:rPr>
            </w:pPr>
            <w:r>
              <w:rPr>
                <w:rFonts w:hint="eastAsia" w:ascii="Times New Roman" w:hAnsi="Times New Roman" w:cs="Times New Roman"/>
                <w:b/>
                <w:bCs/>
              </w:rPr>
              <w:t>非学历教育</w:t>
            </w:r>
          </w:p>
        </w:tc>
        <w:tc>
          <w:tcPr>
            <w:tcW w:w="5103" w:type="dxa"/>
            <w:vAlign w:val="center"/>
          </w:tcPr>
          <w:p>
            <w:pPr>
              <w:adjustRightInd w:val="0"/>
              <w:snapToGrid w:val="0"/>
              <w:ind w:firstLine="207" w:firstLineChars="98"/>
              <w:rPr>
                <w:rFonts w:ascii="Times New Roman" w:hAnsi="Times New Roman" w:cs="Times New Roman"/>
                <w:b/>
                <w:bCs/>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restart"/>
            <w:vAlign w:val="center"/>
          </w:tcPr>
          <w:p>
            <w:pPr>
              <w:adjustRightInd w:val="0"/>
              <w:snapToGrid w:val="0"/>
              <w:ind w:firstLine="207" w:firstLineChars="98"/>
              <w:rPr>
                <w:rFonts w:ascii="Times New Roman" w:hAnsi="Times New Roman" w:cs="Times New Roman"/>
                <w:b/>
                <w:bCs/>
              </w:rPr>
            </w:pPr>
            <w:r>
              <w:rPr>
                <w:rFonts w:hint="eastAsia" w:ascii="Times New Roman" w:hAnsi="Times New Roman" w:cs="Times New Roman"/>
                <w:b/>
                <w:bCs/>
              </w:rPr>
              <w:t>博士研究生人数</w:t>
            </w:r>
          </w:p>
        </w:tc>
        <w:tc>
          <w:tcPr>
            <w:tcW w:w="3102" w:type="dxa"/>
            <w:vAlign w:val="center"/>
          </w:tcPr>
          <w:p>
            <w:pPr>
              <w:adjustRightInd w:val="0"/>
              <w:snapToGrid w:val="0"/>
              <w:ind w:firstLine="207" w:firstLineChars="98"/>
              <w:rPr>
                <w:rFonts w:ascii="Times New Roman" w:hAnsi="Times New Roman" w:cs="Times New Roman"/>
                <w:b/>
                <w:bCs/>
              </w:rPr>
            </w:pPr>
            <w:r>
              <w:rPr>
                <w:rFonts w:hint="eastAsia" w:ascii="Times New Roman" w:hAnsi="Times New Roman" w:cs="Times New Roman"/>
                <w:b/>
                <w:bCs/>
              </w:rPr>
              <w:t>学历教育</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50" w:hRule="atLeast"/>
        </w:trPr>
        <w:tc>
          <w:tcPr>
            <w:tcW w:w="2535" w:type="dxa"/>
            <w:vMerge w:val="continue"/>
            <w:vAlign w:val="center"/>
          </w:tcPr>
          <w:p>
            <w:pPr>
              <w:adjustRightInd w:val="0"/>
              <w:snapToGrid w:val="0"/>
              <w:ind w:firstLine="207" w:firstLineChars="98"/>
              <w:rPr>
                <w:rFonts w:ascii="Times New Roman" w:hAnsi="Times New Roman" w:cs="Times New Roman"/>
                <w:b/>
                <w:bCs/>
              </w:rPr>
            </w:pPr>
          </w:p>
        </w:tc>
        <w:tc>
          <w:tcPr>
            <w:tcW w:w="3102" w:type="dxa"/>
            <w:vAlign w:val="center"/>
          </w:tcPr>
          <w:p>
            <w:pPr>
              <w:adjustRightInd w:val="0"/>
              <w:snapToGrid w:val="0"/>
              <w:ind w:firstLine="207" w:firstLineChars="98"/>
              <w:rPr>
                <w:rFonts w:ascii="Times New Roman" w:hAnsi="Times New Roman" w:cs="Times New Roman"/>
                <w:b/>
                <w:bCs/>
              </w:rPr>
            </w:pPr>
            <w:r>
              <w:rPr>
                <w:rFonts w:hint="eastAsia" w:ascii="Times New Roman" w:hAnsi="Times New Roman" w:cs="Times New Roman"/>
                <w:b/>
                <w:bCs/>
              </w:rPr>
              <w:t>非学历教育</w:t>
            </w:r>
          </w:p>
        </w:tc>
        <w:tc>
          <w:tcPr>
            <w:tcW w:w="5103" w:type="dxa"/>
            <w:vAlign w:val="center"/>
          </w:tcPr>
          <w:p>
            <w:pPr>
              <w:adjustRightInd w:val="0"/>
              <w:snapToGrid w:val="0"/>
              <w:ind w:firstLine="207" w:firstLineChars="98"/>
              <w:rPr>
                <w:rFonts w:ascii="Times New Roman" w:hAnsi="Times New Roman" w:cs="Times New Roman"/>
                <w:b/>
                <w:bCs/>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207" w:firstLineChars="98"/>
              <w:rPr>
                <w:rFonts w:ascii="Times New Roman" w:hAnsi="Times New Roman" w:cs="Times New Roman"/>
                <w:b/>
                <w:bCs/>
              </w:rPr>
            </w:pPr>
            <w:r>
              <w:rPr>
                <w:rFonts w:hint="eastAsia" w:ascii="Times New Roman" w:hAnsi="Times New Roman" w:cs="Times New Roman"/>
                <w:b/>
                <w:bCs/>
              </w:rPr>
              <w:t>授予博士学位的留学生数（人）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6.普通预科生数（人）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7.进修生数（人）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8.成人脱产学生数（人）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9.夜大（业余）学生数（人）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10.函授学生数（人）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11.网络学生数（人）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12.自考学生数（人）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ascii="Times New Roman" w:hAnsi="Times New Roman" w:cs="Times New Roman"/>
                <w:b/>
                <w:bCs/>
              </w:rPr>
              <w:t>13.</w:t>
            </w:r>
            <w:r>
              <w:rPr>
                <w:rFonts w:hint="eastAsia" w:ascii="Times New Roman" w:hAnsi="Times New Roman" w:cs="Times New Roman"/>
                <w:b/>
                <w:bCs/>
              </w:rPr>
              <w:t>中职在校生数（人）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rPr>
                <w:rFonts w:ascii="Times New Roman" w:hAnsi="Times New Roman" w:cs="Times New Roman"/>
                <w:b/>
                <w:bCs/>
              </w:rPr>
            </w:pPr>
            <w:r>
              <w:rPr>
                <w:rFonts w:hint="eastAsia" w:ascii="Times New Roman" w:hAnsi="Times New Roman" w:cs="Times New Roman"/>
                <w:b/>
                <w:bCs/>
              </w:rPr>
              <w:t>14.少数民族学生数（人）</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632" w:firstLineChars="300"/>
              <w:rPr>
                <w:rFonts w:ascii="Times New Roman" w:hAnsi="Times New Roman" w:cs="Times New Roman"/>
                <w:b/>
                <w:bCs/>
              </w:rPr>
            </w:pPr>
            <w:r>
              <w:rPr>
                <w:rFonts w:hint="eastAsia" w:ascii="Times New Roman" w:hAnsi="Times New Roman" w:cs="Times New Roman"/>
                <w:b/>
                <w:bCs/>
              </w:rPr>
              <w:t>其中：研究生</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1265" w:firstLineChars="600"/>
              <w:rPr>
                <w:rFonts w:ascii="Times New Roman" w:hAnsi="Times New Roman" w:cs="Times New Roman"/>
                <w:b/>
                <w:bCs/>
              </w:rPr>
            </w:pPr>
            <w:r>
              <w:rPr>
                <w:rFonts w:hint="eastAsia" w:ascii="Times New Roman" w:hAnsi="Times New Roman" w:cs="Times New Roman"/>
                <w:b/>
                <w:bCs/>
              </w:rPr>
              <w:t>本科生</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vAlign w:val="center"/>
          </w:tcPr>
          <w:p>
            <w:pPr>
              <w:adjustRightInd w:val="0"/>
              <w:snapToGrid w:val="0"/>
              <w:ind w:firstLine="1265" w:firstLineChars="600"/>
              <w:rPr>
                <w:rFonts w:ascii="Times New Roman" w:hAnsi="Times New Roman" w:cs="Times New Roman"/>
                <w:b/>
                <w:bCs/>
              </w:rPr>
            </w:pPr>
            <w:r>
              <w:rPr>
                <w:rFonts w:hint="eastAsia" w:ascii="Times New Roman" w:hAnsi="Times New Roman" w:cs="Times New Roman"/>
                <w:b/>
                <w:bCs/>
              </w:rPr>
              <w:t>专科生</w:t>
            </w:r>
          </w:p>
        </w:tc>
        <w:tc>
          <w:tcPr>
            <w:tcW w:w="5103" w:type="dxa"/>
            <w:vAlign w:val="center"/>
          </w:tcPr>
          <w:p>
            <w:pPr>
              <w:adjustRightInd w:val="0"/>
              <w:snapToGrid w:val="0"/>
              <w:jc w:val="center"/>
              <w:rPr>
                <w:rFonts w:ascii="Times New Roman" w:hAnsi="Times New Roman" w:cs="Times New Roman"/>
              </w:rPr>
            </w:pPr>
          </w:p>
        </w:tc>
      </w:tr>
      <w:tr>
        <w:tblPrEx>
          <w:tblBorders>
            <w:top w:val="single" w:color="auto" w:sz="12" w:space="0"/>
            <w:left w:val="single" w:color="000000" w:sz="4" w:space="0"/>
            <w:bottom w:val="single" w:color="auto" w:sz="12"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397" w:hRule="atLeast"/>
        </w:trPr>
        <w:tc>
          <w:tcPr>
            <w:tcW w:w="5637" w:type="dxa"/>
            <w:gridSpan w:val="2"/>
            <w:tcBorders>
              <w:bottom w:val="single" w:color="auto" w:sz="12" w:space="0"/>
            </w:tcBorders>
            <w:vAlign w:val="center"/>
          </w:tcPr>
          <w:p>
            <w:pPr>
              <w:adjustRightInd w:val="0"/>
              <w:snapToGrid w:val="0"/>
              <w:ind w:firstLine="1265" w:firstLineChars="600"/>
              <w:rPr>
                <w:rFonts w:ascii="Times New Roman" w:hAnsi="Times New Roman" w:cs="Times New Roman"/>
                <w:b/>
                <w:bCs/>
              </w:rPr>
            </w:pPr>
            <w:r>
              <w:rPr>
                <w:rFonts w:hint="eastAsia" w:ascii="Times New Roman" w:hAnsi="Times New Roman" w:cs="Times New Roman"/>
                <w:b/>
                <w:bCs/>
              </w:rPr>
              <w:t>预科班</w:t>
            </w:r>
          </w:p>
        </w:tc>
        <w:tc>
          <w:tcPr>
            <w:tcW w:w="5103" w:type="dxa"/>
            <w:tcBorders>
              <w:bottom w:val="single" w:color="auto" w:sz="12" w:space="0"/>
            </w:tcBorders>
            <w:vAlign w:val="center"/>
          </w:tcPr>
          <w:p>
            <w:pPr>
              <w:adjustRightInd w:val="0"/>
              <w:snapToGrid w:val="0"/>
              <w:jc w:val="center"/>
              <w:rPr>
                <w:rFonts w:ascii="Times New Roman" w:hAnsi="Times New Roman" w:cs="Times New Roman"/>
              </w:rPr>
            </w:pPr>
          </w:p>
        </w:tc>
      </w:tr>
    </w:tbl>
    <w:p>
      <w:pPr>
        <w:adjustRightInd w:val="0"/>
        <w:snapToGrid w:val="0"/>
        <w:spacing w:line="360" w:lineRule="auto"/>
        <w:rPr>
          <w:rFonts w:ascii="Times New Roman" w:hAnsi="Times New Roman" w:cs="Times New Roman"/>
          <w:b/>
          <w:szCs w:val="21"/>
        </w:rPr>
      </w:pPr>
    </w:p>
    <w:p>
      <w:pPr>
        <w:adjustRightInd w:val="0"/>
        <w:snapToGrid w:val="0"/>
        <w:spacing w:line="360" w:lineRule="auto"/>
        <w:rPr>
          <w:rFonts w:ascii="Times New Roman" w:hAnsi="Times New Roman" w:cs="Times New Roman"/>
          <w:b/>
          <w:szCs w:val="21"/>
        </w:rPr>
      </w:pPr>
    </w:p>
    <w:p>
      <w:pPr>
        <w:adjustRightInd w:val="0"/>
        <w:snapToGrid w:val="0"/>
        <w:spacing w:line="360" w:lineRule="auto"/>
        <w:rPr>
          <w:rFonts w:ascii="Times New Roman" w:hAnsi="Times New Roman" w:cs="Times New Roman"/>
          <w:b/>
          <w:szCs w:val="21"/>
        </w:rPr>
      </w:pPr>
      <w:r>
        <w:rPr>
          <w:rFonts w:ascii="Times New Roman" w:hAnsi="Times New Roman" w:cs="Times New Roman"/>
          <w:b/>
          <w:szCs w:val="21"/>
        </w:rPr>
        <w:t>指标解释：</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人数：</w:t>
      </w:r>
      <w:r>
        <w:rPr>
          <w:rFonts w:ascii="Times New Roman" w:hAnsi="Times New Roman" w:cs="Times New Roman"/>
          <w:szCs w:val="21"/>
        </w:rPr>
        <w:t>在校注册具有本校学籍的学生数。</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1.普通本科生：</w:t>
      </w:r>
      <w:r>
        <w:rPr>
          <w:rFonts w:ascii="Times New Roman" w:hAnsi="Times New Roman" w:cs="Times New Roman"/>
          <w:szCs w:val="21"/>
        </w:rPr>
        <w:t>指全日制在学本科生，包括高中起点本科学生（指通过全国普通高校统一招生录取的全日制普通本科学生，招生对象为高中阶段教育毕业生或同等学力人员）、专科起点本科学生（指普通专科（高职）毕业生，根据各地普通专升本政策选拔升入全日制普通本科教育阶段学习的学生），</w:t>
      </w:r>
      <w:r>
        <w:rPr>
          <w:rFonts w:hint="eastAsia" w:ascii="Times New Roman" w:hAnsi="Times New Roman" w:cs="Times New Roman"/>
          <w:szCs w:val="21"/>
        </w:rPr>
        <w:t>第二学士学位学生（指普通高校本科毕业获得学士学位的毕业生，根据各高校第二学士学位招生政策录取的攻读第二学士学位的学生）</w:t>
      </w:r>
      <w:r>
        <w:rPr>
          <w:rFonts w:ascii="Times New Roman" w:hAnsi="Times New Roman" w:cs="Times New Roman"/>
          <w:szCs w:val="21"/>
        </w:rPr>
        <w:t>以及与国（境）外大学联合培养的学生（</w:t>
      </w:r>
      <w:r>
        <w:rPr>
          <w:rFonts w:ascii="Times New Roman" w:hAnsi="Times New Roman" w:cs="Times New Roman"/>
          <w:b/>
          <w:szCs w:val="21"/>
        </w:rPr>
        <w:t>指与国（境）外大学签订协议，</w:t>
      </w:r>
      <w:r>
        <w:rPr>
          <w:rFonts w:hint="eastAsia" w:ascii="Times New Roman" w:hAnsi="Times New Roman" w:cs="Times New Roman"/>
          <w:b/>
          <w:szCs w:val="21"/>
        </w:rPr>
        <w:t>开展联合培养并正在国（境）外大学进行培养的普通本科层次的学生</w:t>
      </w:r>
      <w:r>
        <w:rPr>
          <w:rFonts w:hint="eastAsia" w:ascii="Times New Roman" w:hAnsi="Times New Roman" w:cs="Times New Roman"/>
          <w:szCs w:val="21"/>
        </w:rPr>
        <w:t>）等。</w:t>
      </w:r>
    </w:p>
    <w:p>
      <w:pPr>
        <w:adjustRightInd w:val="0"/>
        <w:snapToGrid w:val="0"/>
        <w:spacing w:line="360" w:lineRule="auto"/>
        <w:rPr>
          <w:rFonts w:ascii="Times New Roman" w:hAnsi="Times New Roman" w:cs="Times New Roman"/>
          <w:b/>
          <w:szCs w:val="21"/>
        </w:rPr>
      </w:pPr>
      <w:r>
        <w:rPr>
          <w:rFonts w:ascii="Times New Roman" w:hAnsi="Times New Roman" w:cs="Times New Roman"/>
          <w:b/>
          <w:szCs w:val="21"/>
        </w:rPr>
        <w:t>2.普通高职（含专科）学生：</w:t>
      </w:r>
      <w:r>
        <w:rPr>
          <w:rFonts w:ascii="Times New Roman" w:hAnsi="Times New Roman" w:cs="Times New Roman"/>
          <w:szCs w:val="21"/>
        </w:rPr>
        <w:t>“高职”指全日制接受高等职业技术教育的在校学生。“专科”指全日制专科在校学生，包括高中起点专科（指通过全国普通高校统一招生录取的全日制普通专科（高职）学生，招生对象为高中阶段教育毕业生或同等学力人员）、对口招收中职生（指中等职业教育阶段毕业生，根据各地高等学校对口招收中职毕业生政策选拔升入全日制普通专科（高职）教育阶段学习的学生）、五年制高职转入生（指五年制高等职业教育学生，完成前三年中等职业教育阶段学习后，转入普通高等职业教育阶段学习的学生）等。</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3.硕士研究生：</w:t>
      </w:r>
      <w:r>
        <w:rPr>
          <w:rFonts w:ascii="Times New Roman" w:hAnsi="Times New Roman" w:cs="Times New Roman"/>
          <w:szCs w:val="21"/>
        </w:rPr>
        <w:t>指全日制在学硕士研究生及非全日制硕士研究生。其中全日制学生指接受全时学历教育的学生。</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4.博士研究生：</w:t>
      </w:r>
      <w:r>
        <w:rPr>
          <w:rFonts w:ascii="Times New Roman" w:hAnsi="Times New Roman" w:cs="Times New Roman"/>
          <w:szCs w:val="21"/>
        </w:rPr>
        <w:t>指全日制在学博士研究生及非全日制博士研究生。</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5.留学生：</w:t>
      </w:r>
      <w:r>
        <w:rPr>
          <w:rFonts w:ascii="Times New Roman" w:hAnsi="Times New Roman" w:cs="Times New Roman"/>
          <w:szCs w:val="21"/>
        </w:rPr>
        <w:t>指持外国护照在我国高等学校注册并接受学历教育或非学历教育的外国公民。</w:t>
      </w:r>
    </w:p>
    <w:p>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授予博士学位的留学生数：</w:t>
      </w:r>
      <w:r>
        <w:rPr>
          <w:rFonts w:hint="eastAsia" w:ascii="Times New Roman" w:hAnsi="Times New Roman" w:cs="Times New Roman"/>
          <w:szCs w:val="21"/>
        </w:rPr>
        <w:t>指</w:t>
      </w:r>
      <w:r>
        <w:rPr>
          <w:rFonts w:hint="eastAsia" w:ascii="Times New Roman" w:hAnsi="Times New Roman" w:cs="Times New Roman"/>
          <w:b/>
          <w:szCs w:val="21"/>
        </w:rPr>
        <w:t>学年度</w:t>
      </w:r>
      <w:r>
        <w:rPr>
          <w:rFonts w:hint="eastAsia" w:ascii="Times New Roman" w:hAnsi="Times New Roman" w:cs="Times New Roman"/>
          <w:szCs w:val="21"/>
        </w:rPr>
        <w:t>具有学籍的留学生完成教学计划规定课程，考试合格，被授予博士学位的学生数。</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6.普通预科生：</w:t>
      </w:r>
      <w:r>
        <w:rPr>
          <w:rFonts w:ascii="Times New Roman" w:hAnsi="Times New Roman" w:cs="Times New Roman"/>
          <w:szCs w:val="21"/>
        </w:rPr>
        <w:t>是指经教育部和国家民委批准下达预科招生计划，招收的少数民族和港澳、华侨、台籍学生，经过一年的文化补习，合格者升入普通高等学校有关专业学习。</w:t>
      </w:r>
    </w:p>
    <w:p>
      <w:pPr>
        <w:tabs>
          <w:tab w:val="left" w:pos="7114"/>
        </w:tabs>
        <w:adjustRightInd w:val="0"/>
        <w:snapToGrid w:val="0"/>
        <w:spacing w:line="360" w:lineRule="auto"/>
        <w:rPr>
          <w:rFonts w:ascii="Times New Roman" w:hAnsi="Times New Roman" w:cs="Times New Roman"/>
          <w:szCs w:val="21"/>
        </w:rPr>
      </w:pPr>
      <w:r>
        <w:rPr>
          <w:rFonts w:ascii="Times New Roman" w:hAnsi="Times New Roman" w:cs="Times New Roman"/>
          <w:b/>
          <w:szCs w:val="21"/>
        </w:rPr>
        <w:t>7.进修生：</w:t>
      </w:r>
      <w:r>
        <w:rPr>
          <w:rFonts w:ascii="Times New Roman" w:hAnsi="Times New Roman" w:cs="Times New Roman"/>
          <w:szCs w:val="21"/>
        </w:rPr>
        <w:t>指在学校进行的各类非学历教育，且时间在一年以上者</w:t>
      </w:r>
      <w:r>
        <w:rPr>
          <w:rFonts w:hint="eastAsia" w:ascii="Times New Roman" w:hAnsi="Times New Roman" w:cs="Times New Roman"/>
          <w:szCs w:val="21"/>
        </w:rPr>
        <w:t>。</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8.成人脱产学生：</w:t>
      </w:r>
      <w:r>
        <w:rPr>
          <w:rFonts w:ascii="Times New Roman" w:hAnsi="Times New Roman" w:cs="Times New Roman"/>
          <w:szCs w:val="21"/>
        </w:rPr>
        <w:t>指通过全国成人高等教育统一招生考试，招收具有高中毕业文化程度的人员，按照国家成人高等学历教育计划，以全日制授课为主要教学方式培养的学生。本科学制为四或五年，专科学制为二或三年。</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9.夜大（业余）学生：</w:t>
      </w:r>
      <w:r>
        <w:rPr>
          <w:rFonts w:ascii="Times New Roman" w:hAnsi="Times New Roman" w:cs="Times New Roman"/>
          <w:szCs w:val="21"/>
        </w:rPr>
        <w:t>指通过全国成人高等教育统一招生考试，招收具有高中毕业文化程度的人员，按照国家成人高等学历教育计划，以业余时间授课为主要教学方式培养的学生，业余学生包括夜大学学生。本科学制五或六年，专科学制三或四年。</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10.函授学生：</w:t>
      </w:r>
      <w:r>
        <w:rPr>
          <w:rFonts w:ascii="Times New Roman" w:hAnsi="Times New Roman" w:cs="Times New Roman"/>
          <w:szCs w:val="21"/>
        </w:rPr>
        <w:t>指通过全国成人高等教育统一招生考试，招收具有高中毕业文化程度的人员，按照国家成人高等学历教育计划，以函授为主要教学方式培养的学生。本科学制为五或六年，专科学制为三或四年。</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11.网络学生：</w:t>
      </w:r>
      <w:r>
        <w:rPr>
          <w:rFonts w:ascii="Times New Roman" w:hAnsi="Times New Roman" w:cs="Times New Roman"/>
          <w:szCs w:val="21"/>
        </w:rPr>
        <w:t>指经教育部批准的现代远程教育试点学校设立的网络教育学院，基于互联网上实施高等学历教育所招收的成人本科、专科学生。</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12.自考学生：</w:t>
      </w:r>
      <w:r>
        <w:rPr>
          <w:rFonts w:ascii="Times New Roman" w:hAnsi="Times New Roman" w:cs="Times New Roman"/>
          <w:szCs w:val="21"/>
        </w:rPr>
        <w:t>是指为参加高等教育自学考试的学生举办的全日制教学辅导班所招收的学生。</w:t>
      </w:r>
    </w:p>
    <w:p>
      <w:pPr>
        <w:adjustRightInd w:val="0"/>
        <w:snapToGrid w:val="0"/>
        <w:spacing w:line="360" w:lineRule="auto"/>
        <w:rPr>
          <w:rFonts w:ascii="Times New Roman" w:hAnsi="Times New Roman" w:cs="Times New Roman"/>
          <w:b/>
          <w:szCs w:val="21"/>
        </w:rPr>
      </w:pPr>
      <w:r>
        <w:rPr>
          <w:rFonts w:ascii="Times New Roman" w:hAnsi="Times New Roman" w:cs="Times New Roman"/>
          <w:b/>
          <w:szCs w:val="21"/>
        </w:rPr>
        <w:t>13.</w:t>
      </w:r>
      <w:r>
        <w:rPr>
          <w:rFonts w:hint="eastAsia" w:ascii="Times New Roman" w:hAnsi="Times New Roman" w:cs="Times New Roman"/>
          <w:b/>
          <w:szCs w:val="21"/>
        </w:rPr>
        <w:t>中职在校生：</w:t>
      </w:r>
      <w:r>
        <w:rPr>
          <w:rFonts w:hint="eastAsia" w:ascii="Times New Roman" w:hAnsi="Times New Roman" w:cs="Times New Roman"/>
          <w:szCs w:val="21"/>
        </w:rPr>
        <w:t>是指高校附设中职教学班，中职教学班所招收的学生。</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14.</w:t>
      </w:r>
      <w:r>
        <w:rPr>
          <w:rFonts w:hint="eastAsia" w:ascii="Times New Roman" w:hAnsi="Times New Roman" w:cs="Times New Roman"/>
          <w:b/>
          <w:szCs w:val="21"/>
        </w:rPr>
        <w:t>少数民族学生：</w:t>
      </w:r>
      <w:r>
        <w:rPr>
          <w:rFonts w:hint="eastAsia" w:ascii="Times New Roman" w:hAnsi="Times New Roman" w:cs="Times New Roman"/>
          <w:szCs w:val="21"/>
        </w:rPr>
        <w:t>是指中国国籍全日制学生中除汉族之外其他民族学生。</w:t>
      </w:r>
    </w:p>
    <w:p>
      <w:pPr>
        <w:adjustRightInd w:val="0"/>
        <w:snapToGrid w:val="0"/>
        <w:spacing w:line="360" w:lineRule="auto"/>
        <w:rPr>
          <w:rFonts w:ascii="Times New Roman" w:hAnsi="Times New Roman" w:cs="Times New Roman"/>
          <w:szCs w:val="21"/>
        </w:rPr>
      </w:pPr>
      <w:r>
        <w:rPr>
          <w:rFonts w:ascii="Times New Roman" w:hAnsi="Times New Roman" w:cs="Times New Roman"/>
          <w:b/>
          <w:szCs w:val="21"/>
        </w:rPr>
        <w:t>15.</w:t>
      </w:r>
      <w:r>
        <w:rPr>
          <w:rFonts w:hint="eastAsia" w:ascii="Times New Roman" w:hAnsi="Times New Roman" w:cs="Times New Roman"/>
          <w:b/>
          <w:szCs w:val="21"/>
        </w:rPr>
        <w:t>预科班：</w:t>
      </w:r>
      <w:r>
        <w:rPr>
          <w:rFonts w:ascii="Times New Roman" w:hAnsi="Times New Roman" w:cs="Times New Roman"/>
          <w:szCs w:val="21"/>
        </w:rPr>
        <w:t>指对当年参加普通高等学校招生全国统一考试、适当降分、择优录取的少数民族学生,</w:t>
      </w:r>
      <w:r>
        <w:rPr>
          <w:rFonts w:hint="eastAsia" w:ascii="Arial" w:hAnsi="Arial" w:cs="Arial"/>
          <w:szCs w:val="21"/>
          <w:shd w:val="clear" w:color="auto" w:fill="FFFFFF"/>
        </w:rPr>
        <w:t>在高校学习一年后，经考试合格直接入高校进行专业学习的教学形式。</w:t>
      </w:r>
    </w:p>
    <w:p>
      <w:pPr>
        <w:adjustRightInd w:val="0"/>
        <w:snapToGrid w:val="0"/>
        <w:spacing w:line="360" w:lineRule="auto"/>
      </w:pPr>
      <w:r>
        <w:rPr>
          <w:rFonts w:hint="eastAsia" w:ascii="Times New Roman" w:hAnsi="Times New Roman" w:cs="Times New Roman"/>
          <w:b/>
          <w:szCs w:val="21"/>
        </w:rPr>
        <w:t>注：</w:t>
      </w:r>
      <w:r>
        <w:rPr>
          <w:rFonts w:hint="eastAsia" w:ascii="Times New Roman" w:hAnsi="Times New Roman" w:cs="Times New Roman"/>
          <w:szCs w:val="21"/>
        </w:rPr>
        <w:t>此表应与学校当年的</w:t>
      </w:r>
      <w:r>
        <w:rPr>
          <w:rFonts w:hint="eastAsia" w:ascii="仿宋_GB2312" w:hAnsi="Times New Roman" w:eastAsia="仿宋_GB2312" w:cs="Times New Roman"/>
          <w:szCs w:val="21"/>
        </w:rPr>
        <w:t>《</w:t>
      </w:r>
      <w:r>
        <w:t>高等教育学校（机构）统计调查表</w:t>
      </w:r>
      <w:r>
        <w:rPr>
          <w:rFonts w:hint="eastAsia" w:ascii="仿宋_GB2312" w:eastAsia="仿宋_GB2312"/>
        </w:rPr>
        <w:t>》（</w:t>
      </w:r>
      <w:r>
        <w:rPr>
          <w:rFonts w:hint="eastAsia"/>
        </w:rPr>
        <w:t>高基表</w:t>
      </w:r>
      <w:r>
        <w:rPr>
          <w:rFonts w:hint="eastAsia" w:ascii="仿宋_GB2312" w:eastAsia="仿宋_GB2312"/>
        </w:rPr>
        <w:t>）</w:t>
      </w:r>
      <w:r>
        <w:rPr>
          <w:rFonts w:hint="eastAsia"/>
        </w:rPr>
        <w:t>保持一致。</w:t>
      </w:r>
    </w:p>
    <w:p>
      <w:pPr>
        <w:spacing w:line="360" w:lineRule="auto"/>
        <w:rPr>
          <w:b/>
        </w:rPr>
      </w:pPr>
      <w:r>
        <w:rPr>
          <w:b/>
        </w:rPr>
        <w:t>*</w:t>
      </w:r>
      <w:r>
        <w:rPr>
          <w:rFonts w:hint="eastAsia"/>
          <w:b/>
        </w:rPr>
        <w:t>校验关系</w:t>
      </w:r>
    </w:p>
    <w:p>
      <w:pPr>
        <w:adjustRightInd w:val="0"/>
        <w:snapToGrid w:val="0"/>
        <w:spacing w:line="360" w:lineRule="auto"/>
        <w:rPr>
          <w:rFonts w:ascii="Times New Roman" w:hAnsi="Times New Roman" w:cs="Times New Roman"/>
          <w:b/>
          <w:szCs w:val="21"/>
        </w:rPr>
      </w:pPr>
      <w:r>
        <w:rPr>
          <w:rFonts w:hint="eastAsia" w:ascii="Times New Roman" w:hAnsi="Times New Roman" w:cs="Times New Roman"/>
          <w:b/>
          <w:szCs w:val="21"/>
        </w:rPr>
        <w:t>表</w:t>
      </w:r>
      <w:r>
        <w:rPr>
          <w:rFonts w:ascii="Times New Roman" w:hAnsi="Times New Roman" w:cs="Times New Roman"/>
          <w:b/>
          <w:szCs w:val="21"/>
        </w:rPr>
        <w:t>间校验：</w:t>
      </w:r>
    </w:p>
    <w:p>
      <w:pPr>
        <w:adjustRightInd w:val="0"/>
        <w:snapToGrid w:val="0"/>
        <w:spacing w:line="360" w:lineRule="auto"/>
        <w:ind w:firstLine="210" w:firstLineChars="100"/>
        <w:rPr>
          <w:rFonts w:ascii="Times New Roman" w:hAnsi="Times New Roman" w:cs="Times New Roman"/>
          <w:highlight w:val="none"/>
        </w:rPr>
      </w:pPr>
      <w:r>
        <w:rPr>
          <w:highlight w:val="none"/>
        </w:rPr>
        <w:t>1.</w:t>
      </w:r>
      <w:r>
        <w:rPr>
          <w:rFonts w:hint="eastAsia"/>
          <w:highlight w:val="none"/>
        </w:rPr>
        <w:t>普通本科学生数（人）≥ 1-6 总数 - 当年毕业人数 - 在校留学生数</w:t>
      </w:r>
    </w:p>
    <w:p>
      <w:bookmarkStart w:id="7" w:name="_GoBack"/>
      <w:bookmarkEnd w:id="7"/>
    </w:p>
    <w:sectPr>
      <w:pgSz w:w="16838" w:h="11906" w:orient="landscape"/>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YzJmNTg5ZmYyNzMzMWM1YmNlYjQwZjUzNTcyYjMifQ=="/>
  </w:docVars>
  <w:rsids>
    <w:rsidRoot w:val="00000000"/>
    <w:rsid w:val="030C145A"/>
    <w:rsid w:val="0FB31DBC"/>
    <w:rsid w:val="131126C6"/>
    <w:rsid w:val="2600314B"/>
    <w:rsid w:val="34D43D8F"/>
    <w:rsid w:val="35E2482B"/>
    <w:rsid w:val="45315427"/>
    <w:rsid w:val="45E432D0"/>
    <w:rsid w:val="5DCC6488"/>
    <w:rsid w:val="5EC74995"/>
    <w:rsid w:val="6C764A3E"/>
    <w:rsid w:val="6D586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autoRedefine/>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autoRedefine/>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列表段落2"/>
    <w:basedOn w:val="1"/>
    <w:autoRedefine/>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2024-07-23T07:54:00Z</dcterms:created>
  <dc:creator>ZP-P</dc:creator>
  <cp:lastModifiedBy>ZP-P</cp:lastModifiedBy>
  <dcterms:modified xsi:type="dcterms:W3CDTF">2024-07-23T08:06:40Z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564053B1A20B40FEB631DDABD590AB66_12</vt:lpwstr>
  </property>
</Properties>
</file>