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line="240" w:lineRule="auto"/>
        <w:rPr>
          <w:rFonts w:ascii="Times New Roman" w:hAnsi="Times New Roman" w:eastAsia="宋体"/>
          <w:szCs w:val="21"/>
          <w:highlight w:val="none"/>
        </w:rPr>
      </w:pPr>
      <w:bookmarkStart w:id="7" w:name="_GoBack"/>
      <w:bookmarkStart w:id="0" w:name="_Toc390356239"/>
      <w:bookmarkStart w:id="1" w:name="_Toc436883403"/>
      <w:bookmarkStart w:id="2" w:name="_Toc385518780"/>
      <w:bookmarkStart w:id="3" w:name="_Toc436554281"/>
      <w:bookmarkStart w:id="4" w:name="_Toc7826"/>
      <w:bookmarkStart w:id="5" w:name="_Toc453514527"/>
      <w:r>
        <w:rPr>
          <w:rFonts w:ascii="Times New Roman" w:hAnsi="Times New Roman" w:eastAsia="宋体"/>
          <w:highlight w:val="none"/>
        </w:rPr>
        <w:t>表2-8-2教育经费收支情况</w:t>
      </w:r>
      <w:bookmarkEnd w:id="0"/>
      <w:bookmarkEnd w:id="1"/>
      <w:bookmarkEnd w:id="2"/>
      <w:bookmarkEnd w:id="3"/>
      <w:r>
        <w:rPr>
          <w:rFonts w:ascii="Times New Roman" w:hAnsi="Times New Roman" w:eastAsia="宋体"/>
          <w:highlight w:val="none"/>
        </w:rPr>
        <w:t>（自然年）</w:t>
      </w:r>
      <w:bookmarkEnd w:id="4"/>
      <w:bookmarkEnd w:id="5"/>
    </w:p>
    <w:bookmarkEnd w:id="7"/>
    <w:p>
      <w:pPr>
        <w:adjustRightInd w:val="0"/>
        <w:snapToGrid w:val="0"/>
        <w:rPr>
          <w:rFonts w:ascii="Times New Roman" w:hAnsi="Times New Roman" w:cs="Times New Roman"/>
          <w:b/>
        </w:rPr>
      </w:pPr>
    </w:p>
    <w:tbl>
      <w:tblPr>
        <w:tblStyle w:val="4"/>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672"/>
        <w:gridCol w:w="2401"/>
        <w:gridCol w:w="1414"/>
        <w:gridCol w:w="6688"/>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6487" w:type="dxa"/>
            <w:gridSpan w:val="3"/>
            <w:shd w:val="clear" w:color="auto" w:fill="auto"/>
          </w:tcPr>
          <w:p>
            <w:pPr>
              <w:adjustRightInd w:val="0"/>
              <w:snapToGrid w:val="0"/>
              <w:jc w:val="center"/>
              <w:rPr>
                <w:rFonts w:ascii="Times New Roman" w:hAnsi="Times New Roman" w:cs="Times New Roman"/>
                <w:b/>
                <w:bCs/>
              </w:rPr>
            </w:pPr>
            <w:bookmarkStart w:id="6" w:name="_Hlk75183381"/>
            <w:r>
              <w:rPr>
                <w:rFonts w:ascii="Times New Roman" w:hAnsi="Times New Roman" w:cs="Times New Roman"/>
                <w:b/>
                <w:bCs/>
              </w:rPr>
              <w:t>项目</w:t>
            </w:r>
          </w:p>
        </w:tc>
        <w:tc>
          <w:tcPr>
            <w:tcW w:w="6688" w:type="dxa"/>
            <w:shd w:val="clear" w:color="auto" w:fill="auto"/>
          </w:tcPr>
          <w:p>
            <w:pPr>
              <w:adjustRightInd w:val="0"/>
              <w:snapToGrid w:val="0"/>
              <w:jc w:val="center"/>
              <w:rPr>
                <w:rFonts w:ascii="Times New Roman" w:hAnsi="Times New Roman" w:cs="Times New Roman"/>
                <w:b/>
                <w:bCs/>
              </w:rPr>
            </w:pPr>
            <w:r>
              <w:rPr>
                <w:rFonts w:ascii="Times New Roman" w:hAnsi="Times New Roman" w:cs="Times New Roman"/>
                <w:b/>
                <w:bCs/>
              </w:rPr>
              <w:t>金额</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restart"/>
            <w:shd w:val="clear" w:color="auto" w:fill="auto"/>
            <w:vAlign w:val="center"/>
          </w:tcPr>
          <w:p>
            <w:pPr>
              <w:adjustRightInd w:val="0"/>
              <w:snapToGrid w:val="0"/>
              <w:rPr>
                <w:rFonts w:ascii="Times New Roman" w:hAnsi="Times New Roman" w:cs="Times New Roman"/>
                <w:b/>
                <w:bCs/>
              </w:rPr>
            </w:pPr>
            <w:r>
              <w:rPr>
                <w:rFonts w:ascii="Times New Roman" w:hAnsi="Times New Roman" w:cs="Times New Roman"/>
                <w:b/>
                <w:bCs/>
              </w:rPr>
              <w:t>1.</w:t>
            </w:r>
            <w:r>
              <w:rPr>
                <w:rFonts w:hint="eastAsia" w:ascii="Times New Roman" w:hAnsi="Times New Roman" w:cs="Times New Roman"/>
                <w:b/>
                <w:bCs/>
              </w:rPr>
              <w:t>教学经费支出（万元）</w:t>
            </w:r>
          </w:p>
        </w:tc>
        <w:tc>
          <w:tcPr>
            <w:tcW w:w="3815" w:type="dxa"/>
            <w:gridSpan w:val="2"/>
            <w:shd w:val="clear" w:color="auto" w:fill="auto"/>
          </w:tcPr>
          <w:p>
            <w:pPr>
              <w:adjustRightInd w:val="0"/>
              <w:snapToGrid w:val="0"/>
              <w:rPr>
                <w:rFonts w:ascii="Times New Roman" w:hAnsi="Times New Roman" w:cs="Times New Roman"/>
              </w:rPr>
            </w:pPr>
            <w:r>
              <w:rPr>
                <w:rFonts w:hint="eastAsia" w:ascii="Times New Roman" w:hAnsi="Times New Roman" w:cs="Times New Roman"/>
              </w:rPr>
              <w:t>支出总计</w:t>
            </w:r>
          </w:p>
        </w:tc>
        <w:tc>
          <w:tcPr>
            <w:tcW w:w="6688" w:type="dxa"/>
            <w:shd w:val="clear" w:color="auto" w:fill="auto"/>
            <w:vAlign w:val="center"/>
          </w:tcPr>
          <w:p>
            <w:pPr>
              <w:adjustRightInd w:val="0"/>
              <w:snapToGrid w:val="0"/>
              <w:jc w:val="center"/>
              <w:rPr>
                <w:rFonts w:ascii="Times New Roman" w:hAnsi="Times New Roman" w:cs="Times New Roman"/>
              </w:rPr>
            </w:pPr>
            <w:r>
              <w:rPr>
                <w:rFonts w:ascii="Times New Roman" w:hAnsi="Times New Roman" w:cs="Times New Roman"/>
              </w:rPr>
              <w:t>自动生成</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tcPr>
          <w:p>
            <w:pPr>
              <w:adjustRightInd w:val="0"/>
              <w:snapToGrid w:val="0"/>
              <w:rPr>
                <w:rFonts w:ascii="Times New Roman" w:hAnsi="Times New Roman" w:cs="Times New Roman"/>
              </w:rPr>
            </w:pPr>
            <w:r>
              <w:rPr>
                <w:rFonts w:hint="eastAsia" w:ascii="Times New Roman" w:hAnsi="Times New Roman" w:cs="Times New Roman"/>
              </w:rPr>
              <w:t>教学日常运行支出</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tcPr>
          <w:p>
            <w:pPr>
              <w:adjustRightInd w:val="0"/>
              <w:snapToGrid w:val="0"/>
              <w:rPr>
                <w:rFonts w:ascii="Times New Roman" w:hAnsi="Times New Roman" w:cs="Times New Roman"/>
              </w:rPr>
            </w:pPr>
            <w:r>
              <w:rPr>
                <w:rFonts w:hint="eastAsia" w:ascii="Times New Roman" w:hAnsi="Times New Roman" w:cs="Times New Roman"/>
              </w:rPr>
              <w:t>教学改革支出</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tcPr>
          <w:p>
            <w:pPr>
              <w:adjustRightInd w:val="0"/>
              <w:snapToGrid w:val="0"/>
              <w:rPr>
                <w:rFonts w:ascii="Times New Roman" w:hAnsi="Times New Roman" w:cs="Times New Roman"/>
              </w:rPr>
            </w:pPr>
            <w:r>
              <w:rPr>
                <w:rFonts w:hint="eastAsia" w:ascii="Times New Roman" w:hAnsi="Times New Roman" w:cs="Times New Roman"/>
              </w:rPr>
              <w:t>专业建设支出</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tcPr>
          <w:p>
            <w:pPr>
              <w:adjustRightInd w:val="0"/>
              <w:snapToGrid w:val="0"/>
              <w:rPr>
                <w:rFonts w:ascii="Times New Roman" w:hAnsi="Times New Roman" w:cs="Times New Roman"/>
              </w:rPr>
            </w:pPr>
            <w:r>
              <w:rPr>
                <w:rFonts w:hint="eastAsia" w:ascii="Times New Roman" w:hAnsi="Times New Roman" w:cs="Times New Roman"/>
              </w:rPr>
              <w:t>实践教学支出</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tcPr>
          <w:p>
            <w:pPr>
              <w:adjustRightInd w:val="0"/>
              <w:snapToGrid w:val="0"/>
              <w:ind w:firstLine="420" w:firstLineChars="200"/>
              <w:rPr>
                <w:rFonts w:ascii="Times New Roman" w:hAnsi="Times New Roman" w:cs="Times New Roman"/>
              </w:rPr>
            </w:pPr>
            <w:r>
              <w:rPr>
                <w:rFonts w:hint="eastAsia" w:ascii="Times New Roman" w:hAnsi="Times New Roman" w:cs="Times New Roman"/>
              </w:rPr>
              <w:t>其中：实验经费支出</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tcPr>
          <w:p>
            <w:pPr>
              <w:adjustRightInd w:val="0"/>
              <w:snapToGrid w:val="0"/>
              <w:ind w:firstLine="1050" w:firstLineChars="500"/>
              <w:rPr>
                <w:rFonts w:ascii="Times New Roman" w:hAnsi="Times New Roman" w:cs="Times New Roman"/>
              </w:rPr>
            </w:pPr>
            <w:r>
              <w:rPr>
                <w:rFonts w:hint="eastAsia" w:ascii="Times New Roman" w:hAnsi="Times New Roman" w:cs="Times New Roman"/>
              </w:rPr>
              <w:t>实习经费支出</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tcPr>
          <w:p>
            <w:pPr>
              <w:adjustRightInd w:val="0"/>
              <w:snapToGrid w:val="0"/>
              <w:rPr>
                <w:rFonts w:ascii="Times New Roman" w:hAnsi="Times New Roman" w:cs="Times New Roman"/>
              </w:rPr>
            </w:pPr>
            <w:r>
              <w:rPr>
                <w:rFonts w:ascii="Times New Roman" w:hAnsi="Times New Roman" w:cs="Times New Roman"/>
              </w:rPr>
              <w:t>其他教学专项</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tcPr>
          <w:p>
            <w:pPr>
              <w:adjustRightInd w:val="0"/>
              <w:snapToGrid w:val="0"/>
              <w:rPr>
                <w:rFonts w:ascii="Times New Roman" w:hAnsi="Times New Roman" w:cs="Times New Roman"/>
              </w:rPr>
            </w:pPr>
            <w:r>
              <w:rPr>
                <w:rFonts w:ascii="Times New Roman" w:hAnsi="Times New Roman" w:cs="Times New Roman"/>
              </w:rPr>
              <w:t>学生活动经费支出</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tcPr>
          <w:p>
            <w:pPr>
              <w:adjustRightInd w:val="0"/>
              <w:snapToGrid w:val="0"/>
              <w:rPr>
                <w:rFonts w:ascii="Times New Roman" w:hAnsi="Times New Roman" w:cs="Times New Roman"/>
              </w:rPr>
            </w:pPr>
            <w:r>
              <w:rPr>
                <w:rFonts w:ascii="Times New Roman" w:hAnsi="Times New Roman" w:cs="Times New Roman"/>
              </w:rPr>
              <w:t>教师培训进修专项经费支出</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restart"/>
            <w:shd w:val="clear" w:color="auto" w:fill="auto"/>
            <w:vAlign w:val="center"/>
          </w:tcPr>
          <w:p>
            <w:pPr>
              <w:adjustRightInd w:val="0"/>
              <w:snapToGrid w:val="0"/>
              <w:rPr>
                <w:rFonts w:ascii="Times New Roman" w:hAnsi="Times New Roman" w:cs="Times New Roman"/>
                <w:b/>
                <w:bCs/>
              </w:rPr>
            </w:pPr>
            <w:r>
              <w:rPr>
                <w:rFonts w:ascii="Times New Roman" w:hAnsi="Times New Roman" w:cs="Times New Roman"/>
                <w:b/>
                <w:bCs/>
              </w:rPr>
              <w:t>2.教育事业收入（万元）</w:t>
            </w:r>
          </w:p>
        </w:tc>
        <w:tc>
          <w:tcPr>
            <w:tcW w:w="3815" w:type="dxa"/>
            <w:gridSpan w:val="2"/>
            <w:shd w:val="clear" w:color="auto" w:fill="auto"/>
            <w:vAlign w:val="center"/>
          </w:tcPr>
          <w:p>
            <w:pPr>
              <w:adjustRightInd w:val="0"/>
              <w:snapToGrid w:val="0"/>
              <w:rPr>
                <w:rFonts w:ascii="Times New Roman" w:hAnsi="Times New Roman" w:cs="Times New Roman"/>
              </w:rPr>
            </w:pPr>
            <w:r>
              <w:rPr>
                <w:rFonts w:hint="eastAsia" w:ascii="Times New Roman" w:hAnsi="Times New Roman" w:cs="Times New Roman"/>
              </w:rPr>
              <w:t>经常性预算内事业费拨款</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vAlign w:val="center"/>
          </w:tcPr>
          <w:p>
            <w:pPr>
              <w:adjustRightInd w:val="0"/>
              <w:snapToGrid w:val="0"/>
              <w:rPr>
                <w:rFonts w:ascii="Times New Roman" w:hAnsi="Times New Roman" w:cs="Times New Roman"/>
              </w:rPr>
            </w:pPr>
            <w:r>
              <w:rPr>
                <w:rFonts w:hint="eastAsia" w:ascii="Times New Roman" w:hAnsi="Times New Roman" w:cs="Times New Roman"/>
              </w:rPr>
              <w:t>教改专项拨款（国家）</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
                <w:bCs/>
              </w:rPr>
            </w:pPr>
          </w:p>
        </w:tc>
        <w:tc>
          <w:tcPr>
            <w:tcW w:w="3815" w:type="dxa"/>
            <w:gridSpan w:val="2"/>
            <w:shd w:val="clear" w:color="auto" w:fill="auto"/>
            <w:vAlign w:val="center"/>
          </w:tcPr>
          <w:p>
            <w:pPr>
              <w:adjustRightInd w:val="0"/>
              <w:snapToGrid w:val="0"/>
              <w:rPr>
                <w:rFonts w:ascii="Times New Roman" w:hAnsi="Times New Roman" w:cs="Times New Roman"/>
              </w:rPr>
            </w:pPr>
            <w:r>
              <w:rPr>
                <w:rFonts w:hint="eastAsia" w:ascii="Times New Roman" w:hAnsi="Times New Roman" w:cs="Times New Roman"/>
              </w:rPr>
              <w:t>教改专项拨款（地方）</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vAlign w:val="center"/>
          </w:tcPr>
          <w:p>
            <w:pPr>
              <w:adjustRightInd w:val="0"/>
              <w:snapToGrid w:val="0"/>
              <w:rPr>
                <w:rFonts w:ascii="Times New Roman" w:hAnsi="Times New Roman" w:cs="Times New Roman"/>
                <w:bCs/>
              </w:rPr>
            </w:pPr>
          </w:p>
        </w:tc>
        <w:tc>
          <w:tcPr>
            <w:tcW w:w="2401" w:type="dxa"/>
            <w:vMerge w:val="restart"/>
            <w:shd w:val="clear" w:color="auto" w:fill="auto"/>
            <w:vAlign w:val="center"/>
          </w:tcPr>
          <w:p>
            <w:pPr>
              <w:adjustRightInd w:val="0"/>
              <w:snapToGrid w:val="0"/>
              <w:rPr>
                <w:rFonts w:ascii="Times New Roman" w:hAnsi="Times New Roman" w:cs="Times New Roman"/>
              </w:rPr>
            </w:pPr>
            <w:r>
              <w:rPr>
                <w:rFonts w:ascii="Times New Roman" w:hAnsi="Times New Roman" w:cs="Times New Roman"/>
              </w:rPr>
              <w:t>本科生生均拨款总额</w:t>
            </w:r>
          </w:p>
        </w:tc>
        <w:tc>
          <w:tcPr>
            <w:tcW w:w="1414" w:type="dxa"/>
            <w:shd w:val="clear" w:color="auto" w:fill="auto"/>
          </w:tcPr>
          <w:p>
            <w:pPr>
              <w:adjustRightInd w:val="0"/>
              <w:snapToGrid w:val="0"/>
              <w:rPr>
                <w:rFonts w:ascii="Times New Roman" w:hAnsi="Times New Roman" w:cs="Times New Roman"/>
              </w:rPr>
            </w:pPr>
            <w:r>
              <w:rPr>
                <w:rFonts w:ascii="Times New Roman" w:hAnsi="Times New Roman" w:cs="Times New Roman"/>
              </w:rPr>
              <w:t>国家</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tcPr>
          <w:p>
            <w:pPr>
              <w:adjustRightInd w:val="0"/>
              <w:snapToGrid w:val="0"/>
              <w:rPr>
                <w:rFonts w:ascii="Times New Roman" w:hAnsi="Times New Roman" w:cs="Times New Roman"/>
              </w:rPr>
            </w:pPr>
          </w:p>
        </w:tc>
        <w:tc>
          <w:tcPr>
            <w:tcW w:w="2401" w:type="dxa"/>
            <w:vMerge w:val="continue"/>
            <w:shd w:val="clear" w:color="auto" w:fill="auto"/>
          </w:tcPr>
          <w:p>
            <w:pPr>
              <w:adjustRightInd w:val="0"/>
              <w:snapToGrid w:val="0"/>
              <w:rPr>
                <w:rFonts w:ascii="Times New Roman" w:hAnsi="Times New Roman" w:cs="Times New Roman"/>
              </w:rPr>
            </w:pPr>
          </w:p>
        </w:tc>
        <w:tc>
          <w:tcPr>
            <w:tcW w:w="1414" w:type="dxa"/>
            <w:shd w:val="clear" w:color="auto" w:fill="auto"/>
          </w:tcPr>
          <w:p>
            <w:pPr>
              <w:adjustRightInd w:val="0"/>
              <w:snapToGrid w:val="0"/>
              <w:rPr>
                <w:rFonts w:ascii="Times New Roman" w:hAnsi="Times New Roman" w:cs="Times New Roman"/>
              </w:rPr>
            </w:pPr>
            <w:r>
              <w:rPr>
                <w:rFonts w:ascii="Times New Roman" w:hAnsi="Times New Roman" w:cs="Times New Roman"/>
              </w:rPr>
              <w:t>地方</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tcPr>
          <w:p>
            <w:pPr>
              <w:adjustRightInd w:val="0"/>
              <w:snapToGrid w:val="0"/>
              <w:rPr>
                <w:rFonts w:ascii="Times New Roman" w:hAnsi="Times New Roman" w:cs="Times New Roman"/>
              </w:rPr>
            </w:pPr>
          </w:p>
        </w:tc>
        <w:tc>
          <w:tcPr>
            <w:tcW w:w="3815" w:type="dxa"/>
            <w:gridSpan w:val="2"/>
            <w:shd w:val="clear" w:color="auto" w:fill="auto"/>
            <w:vAlign w:val="center"/>
          </w:tcPr>
          <w:p>
            <w:pPr>
              <w:adjustRightInd w:val="0"/>
              <w:snapToGrid w:val="0"/>
              <w:rPr>
                <w:rFonts w:ascii="Times New Roman" w:hAnsi="Times New Roman" w:cs="Times New Roman"/>
              </w:rPr>
            </w:pPr>
            <w:r>
              <w:rPr>
                <w:rFonts w:ascii="Times New Roman" w:hAnsi="Times New Roman" w:cs="Times New Roman"/>
              </w:rPr>
              <w:t>专科生生均拨款总额</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tcPr>
          <w:p>
            <w:pPr>
              <w:adjustRightInd w:val="0"/>
              <w:snapToGrid w:val="0"/>
              <w:rPr>
                <w:rFonts w:ascii="Times New Roman" w:hAnsi="Times New Roman" w:cs="Times New Roman"/>
              </w:rPr>
            </w:pPr>
          </w:p>
        </w:tc>
        <w:tc>
          <w:tcPr>
            <w:tcW w:w="3815" w:type="dxa"/>
            <w:gridSpan w:val="2"/>
            <w:shd w:val="clear" w:color="auto" w:fill="auto"/>
          </w:tcPr>
          <w:p>
            <w:pPr>
              <w:adjustRightInd w:val="0"/>
              <w:snapToGrid w:val="0"/>
              <w:rPr>
                <w:rFonts w:ascii="Times New Roman" w:hAnsi="Times New Roman" w:cs="Times New Roman"/>
              </w:rPr>
            </w:pPr>
            <w:r>
              <w:rPr>
                <w:rFonts w:ascii="Times New Roman" w:hAnsi="Times New Roman" w:cs="Times New Roman"/>
              </w:rPr>
              <w:t>本科生学费收入</w:t>
            </w:r>
          </w:p>
        </w:tc>
        <w:tc>
          <w:tcPr>
            <w:tcW w:w="6688" w:type="dxa"/>
            <w:shd w:val="clear" w:color="auto" w:fill="auto"/>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397" w:hRule="exact"/>
        </w:trPr>
        <w:tc>
          <w:tcPr>
            <w:tcW w:w="2672" w:type="dxa"/>
            <w:vMerge w:val="continue"/>
            <w:shd w:val="clear" w:color="auto" w:fill="auto"/>
          </w:tcPr>
          <w:p>
            <w:pPr>
              <w:adjustRightInd w:val="0"/>
              <w:snapToGrid w:val="0"/>
              <w:rPr>
                <w:rFonts w:ascii="Times New Roman" w:hAnsi="Times New Roman" w:cs="Times New Roman"/>
              </w:rPr>
            </w:pPr>
          </w:p>
        </w:tc>
        <w:tc>
          <w:tcPr>
            <w:tcW w:w="3815" w:type="dxa"/>
            <w:gridSpan w:val="2"/>
            <w:shd w:val="clear" w:color="auto" w:fill="auto"/>
          </w:tcPr>
          <w:p>
            <w:pPr>
              <w:adjustRightInd w:val="0"/>
              <w:snapToGrid w:val="0"/>
              <w:rPr>
                <w:rFonts w:ascii="Times New Roman" w:hAnsi="Times New Roman" w:cs="Times New Roman"/>
              </w:rPr>
            </w:pPr>
            <w:r>
              <w:rPr>
                <w:rFonts w:ascii="Times New Roman" w:hAnsi="Times New Roman" w:cs="Times New Roman"/>
              </w:rPr>
              <w:t>高职高专学费收入</w:t>
            </w:r>
          </w:p>
        </w:tc>
        <w:tc>
          <w:tcPr>
            <w:tcW w:w="6688" w:type="dxa"/>
            <w:shd w:val="clear" w:color="auto" w:fill="auto"/>
          </w:tcPr>
          <w:p>
            <w:pPr>
              <w:adjustRightInd w:val="0"/>
              <w:snapToGrid w:val="0"/>
              <w:rPr>
                <w:rFonts w:ascii="Times New Roman" w:hAnsi="Times New Roman" w:cs="Times New Roman"/>
              </w:rPr>
            </w:pPr>
          </w:p>
        </w:tc>
      </w:tr>
      <w:bookmarkEnd w:id="6"/>
    </w:tbl>
    <w:p>
      <w:pPr>
        <w:adjustRightInd w:val="0"/>
        <w:snapToGrid w:val="0"/>
        <w:rPr>
          <w:rFonts w:ascii="Times New Roman" w:hAnsi="Times New Roman" w:cs="Times New Roman"/>
          <w:b/>
        </w:rPr>
      </w:pPr>
    </w:p>
    <w:p>
      <w:pPr>
        <w:adjustRightInd w:val="0"/>
        <w:snapToGrid w:val="0"/>
        <w:rPr>
          <w:rFonts w:ascii="Times New Roman" w:hAnsi="Times New Roman" w:cs="Times New Roman"/>
          <w:b/>
        </w:rPr>
      </w:pPr>
      <w:r>
        <w:rPr>
          <w:rFonts w:ascii="Times New Roman" w:hAnsi="Times New Roman" w:cs="Times New Roman"/>
          <w:b/>
        </w:rPr>
        <w:t>指标解释：</w:t>
      </w:r>
    </w:p>
    <w:p>
      <w:pPr>
        <w:pStyle w:val="6"/>
        <w:ind w:left="360" w:firstLine="0" w:firstLineChars="0"/>
        <w:rPr>
          <w:rFonts w:ascii="宋体" w:hAnsi="宋体" w:eastAsia="宋体"/>
          <w:szCs w:val="21"/>
        </w:rPr>
      </w:pPr>
      <w:r>
        <w:rPr>
          <w:rFonts w:ascii="Times New Roman" w:hAnsi="Times New Roman" w:cs="Times New Roman"/>
          <w:b/>
          <w:szCs w:val="21"/>
        </w:rPr>
        <w:t>注：</w:t>
      </w:r>
      <w:r>
        <w:rPr>
          <w:rFonts w:hint="eastAsia" w:ascii="宋体" w:hAnsi="宋体" w:eastAsia="宋体"/>
          <w:szCs w:val="21"/>
        </w:rPr>
        <w:t>以下单项经费均统计自然年度实际支出的经费金额，</w:t>
      </w:r>
      <w:r>
        <w:rPr>
          <w:rFonts w:ascii="宋体" w:hAnsi="宋体" w:eastAsia="宋体"/>
          <w:szCs w:val="21"/>
        </w:rPr>
        <w:t>非特别说明，均指学校开展普通本科教学活动及其辅助活动发生的支出</w:t>
      </w:r>
      <w:r>
        <w:rPr>
          <w:rFonts w:hint="eastAsia" w:ascii="宋体" w:hAnsi="宋体" w:eastAsia="宋体"/>
          <w:szCs w:val="21"/>
        </w:rPr>
        <w:t>。</w:t>
      </w:r>
    </w:p>
    <w:p>
      <w:pPr>
        <w:adjustRightInd w:val="0"/>
        <w:snapToGrid w:val="0"/>
        <w:spacing w:line="360" w:lineRule="auto"/>
        <w:rPr>
          <w:rFonts w:ascii="Times New Roman" w:hAnsi="Times New Roman" w:cs="Times New Roman"/>
          <w:szCs w:val="21"/>
        </w:rPr>
      </w:pP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教学日常运行支出：</w:t>
      </w:r>
      <w:r>
        <w:rPr>
          <w:rFonts w:hint="eastAsia" w:ascii="Times New Roman" w:hAnsi="Times New Roman" w:cs="Times New Roman"/>
          <w:szCs w:val="21"/>
        </w:rPr>
        <w:t>指学校开展普通本专科教学活动及其辅助活动发生的支出，仅指教学基本支出中的商品和服务支出（</w:t>
      </w:r>
      <w:r>
        <w:rPr>
          <w:rFonts w:ascii="Times New Roman" w:hAnsi="Times New Roman" w:cs="Times New Roman"/>
          <w:szCs w:val="21"/>
        </w:rPr>
        <w:t>302类）（不含教学专项拨款支出</w:t>
      </w:r>
      <w:r>
        <w:rPr>
          <w:rFonts w:hint="eastAsia" w:ascii="Times New Roman" w:hAnsi="Times New Roman" w:cs="Times New Roman"/>
          <w:szCs w:val="21"/>
        </w:rPr>
        <w:t>及教师工资和课酬</w:t>
      </w:r>
      <w:r>
        <w:rPr>
          <w:rFonts w:ascii="Times New Roman" w:hAnsi="Times New Roman" w:cs="Times New Roman"/>
          <w:szCs w:val="21"/>
        </w:rPr>
        <w:t>），具体包括：教学教辅部门发生的办公费（含考试考务费、手续费等）、印刷费、咨询费、邮电费、交通费、差旅费、出国费、维修（护）费、租赁费、会议费、培训费、专用材料费（含体育维持费等）、劳务费、其他教学商品和服务支出（含学生活动费、教学咨询研究机构会员费、教学改革科研业务费、委托业务费等）。取会计决算数</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szCs w:val="21"/>
        </w:rPr>
        <w:t>*以下各专项支出为</w:t>
      </w:r>
      <w:r>
        <w:rPr>
          <w:rFonts w:hint="eastAsia" w:ascii="宋体" w:hAnsi="宋体"/>
          <w:szCs w:val="21"/>
        </w:rPr>
        <w:t>学校教育事业支出（含基本支出和项目支出）</w:t>
      </w:r>
      <w:r>
        <w:rPr>
          <w:rFonts w:hint="eastAsia" w:ascii="宋体" w:hAnsi="宋体" w:cs="宋体"/>
          <w:kern w:val="0"/>
          <w:szCs w:val="21"/>
        </w:rPr>
        <w:t>中的商品服务支出（302</w:t>
      </w:r>
      <w:r>
        <w:rPr>
          <w:rFonts w:ascii="宋体" w:hAnsi="宋体" w:cs="宋体"/>
          <w:kern w:val="0"/>
          <w:szCs w:val="21"/>
        </w:rPr>
        <w:t>）</w:t>
      </w:r>
      <w:r>
        <w:rPr>
          <w:rFonts w:hint="eastAsia" w:ascii="宋体" w:hAnsi="宋体" w:cs="宋体"/>
          <w:kern w:val="0"/>
          <w:szCs w:val="21"/>
        </w:rPr>
        <w:t>及其他资本性支出（310-99</w:t>
      </w:r>
      <w:r>
        <w:rPr>
          <w:rFonts w:ascii="宋体" w:hAnsi="宋体" w:cs="宋体"/>
          <w:kern w:val="0"/>
          <w:szCs w:val="21"/>
        </w:rPr>
        <w:t>）</w:t>
      </w:r>
      <w:r>
        <w:rPr>
          <w:rFonts w:hint="eastAsia" w:ascii="宋体" w:hAnsi="宋体" w:cs="宋体"/>
          <w:kern w:val="0"/>
          <w:szCs w:val="21"/>
        </w:rPr>
        <w:t>中的</w:t>
      </w:r>
      <w:r>
        <w:rPr>
          <w:rFonts w:ascii="宋体" w:hAnsi="宋体" w:cs="宋体"/>
          <w:kern w:val="0"/>
          <w:szCs w:val="21"/>
        </w:rPr>
        <w:t>专项支出</w:t>
      </w:r>
      <w:r>
        <w:rPr>
          <w:rFonts w:hint="eastAsia" w:ascii="宋体" w:hAnsi="宋体" w:cs="宋体"/>
          <w:kern w:val="0"/>
          <w:szCs w:val="21"/>
        </w:rPr>
        <w:t>。</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教学改革支出：</w:t>
      </w:r>
      <w:r>
        <w:rPr>
          <w:rFonts w:ascii="Times New Roman" w:hAnsi="Times New Roman" w:cs="Times New Roman"/>
          <w:szCs w:val="21"/>
        </w:rPr>
        <w:t>指学校立项用于</w:t>
      </w:r>
      <w:r>
        <w:rPr>
          <w:rFonts w:hint="eastAsia" w:ascii="Times New Roman" w:hAnsi="Times New Roman" w:cs="Times New Roman"/>
          <w:szCs w:val="21"/>
        </w:rPr>
        <w:t>本科</w:t>
      </w:r>
      <w:r>
        <w:rPr>
          <w:rFonts w:ascii="Times New Roman" w:hAnsi="Times New Roman" w:cs="Times New Roman"/>
          <w:szCs w:val="21"/>
        </w:rPr>
        <w:t>教学改革的专项经费总额。</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专业建设支出：</w:t>
      </w:r>
      <w:r>
        <w:rPr>
          <w:rFonts w:ascii="Times New Roman" w:hAnsi="Times New Roman" w:cs="Times New Roman"/>
          <w:szCs w:val="21"/>
        </w:rPr>
        <w:t>指学校立项用于</w:t>
      </w:r>
      <w:r>
        <w:rPr>
          <w:rFonts w:hint="eastAsia" w:ascii="Times New Roman" w:hAnsi="Times New Roman" w:cs="Times New Roman"/>
          <w:szCs w:val="21"/>
        </w:rPr>
        <w:t>本科</w:t>
      </w:r>
      <w:r>
        <w:rPr>
          <w:rFonts w:ascii="Times New Roman" w:hAnsi="Times New Roman" w:cs="Times New Roman"/>
          <w:szCs w:val="21"/>
        </w:rPr>
        <w:t>专业建设的专项投入经费总额。</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实践教学支出：</w:t>
      </w:r>
      <w:r>
        <w:rPr>
          <w:rFonts w:ascii="Times New Roman" w:hAnsi="Times New Roman" w:cs="Times New Roman"/>
          <w:szCs w:val="21"/>
        </w:rPr>
        <w:t>指学校、教务处及各学院（系、部）用于</w:t>
      </w:r>
      <w:r>
        <w:rPr>
          <w:rFonts w:hint="eastAsia" w:ascii="Times New Roman" w:hAnsi="Times New Roman" w:cs="Times New Roman"/>
          <w:szCs w:val="21"/>
        </w:rPr>
        <w:t>本科</w:t>
      </w:r>
      <w:r>
        <w:rPr>
          <w:rFonts w:ascii="Times New Roman" w:hAnsi="Times New Roman" w:cs="Times New Roman"/>
          <w:szCs w:val="21"/>
        </w:rPr>
        <w:t>实践教学活动及条件建设经费的总额，不含实验室列入固定资产的设备购置，含用于校外实践教学经费。</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其中：实验经费支出：</w:t>
      </w:r>
      <w:r>
        <w:rPr>
          <w:rFonts w:ascii="Times New Roman" w:hAnsi="Times New Roman" w:cs="Times New Roman"/>
          <w:szCs w:val="21"/>
        </w:rPr>
        <w:t>指用于</w:t>
      </w:r>
      <w:r>
        <w:rPr>
          <w:rFonts w:hint="eastAsia" w:ascii="Times New Roman" w:hAnsi="Times New Roman" w:cs="Times New Roman"/>
          <w:szCs w:val="21"/>
        </w:rPr>
        <w:t>本科</w:t>
      </w:r>
      <w:r>
        <w:rPr>
          <w:rFonts w:ascii="Times New Roman" w:hAnsi="Times New Roman" w:cs="Times New Roman"/>
          <w:szCs w:val="21"/>
        </w:rPr>
        <w:t>实验教学运行、维护经费总值，包括：实验耗材、不列入固定资产登记的小型本科实验教学设备购置、教学设备维修费、本科实验教学资料费等支出。</w:t>
      </w:r>
    </w:p>
    <w:p>
      <w:pPr>
        <w:adjustRightInd w:val="0"/>
        <w:snapToGrid w:val="0"/>
        <w:spacing w:line="360" w:lineRule="auto"/>
        <w:ind w:firstLine="632" w:firstLineChars="300"/>
        <w:rPr>
          <w:rFonts w:ascii="Times New Roman" w:hAnsi="Times New Roman" w:cs="Times New Roman"/>
          <w:b/>
          <w:szCs w:val="21"/>
        </w:rPr>
      </w:pPr>
      <w:r>
        <w:rPr>
          <w:rFonts w:ascii="Times New Roman" w:hAnsi="Times New Roman" w:cs="Times New Roman"/>
          <w:b/>
          <w:szCs w:val="21"/>
        </w:rPr>
        <w:t>实习经费支出：</w:t>
      </w:r>
      <w:r>
        <w:rPr>
          <w:rFonts w:ascii="Times New Roman" w:hAnsi="Times New Roman" w:cs="Times New Roman"/>
          <w:szCs w:val="21"/>
        </w:rPr>
        <w:t>指用于本科培养方案内的实习环节支出经费的总值。</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学生活动经费支出：</w:t>
      </w:r>
      <w:r>
        <w:rPr>
          <w:rFonts w:ascii="Times New Roman" w:hAnsi="Times New Roman" w:cs="Times New Roman"/>
          <w:szCs w:val="21"/>
        </w:rPr>
        <w:t>指学校、教务处、学工部（处）、团委及各学院（系、部）用于学生科技创新、文化体育、社会实践等活动的专项投入经费总额。</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教师培训进修专项经费支出：</w:t>
      </w:r>
      <w:r>
        <w:rPr>
          <w:rFonts w:ascii="Times New Roman" w:hAnsi="Times New Roman" w:cs="Times New Roman"/>
          <w:szCs w:val="21"/>
        </w:rPr>
        <w:t>指专项用于教师教学发展的专项经费，包括教师发展中心的业务费用等。</w:t>
      </w:r>
    </w:p>
    <w:p>
      <w:pPr>
        <w:adjustRightInd w:val="0"/>
        <w:snapToGrid w:val="0"/>
        <w:spacing w:line="360" w:lineRule="auto"/>
        <w:rPr>
          <w:rFonts w:ascii="Times New Roman" w:hAnsi="Times New Roman"/>
          <w:szCs w:val="21"/>
        </w:rPr>
      </w:pPr>
      <w:r>
        <w:rPr>
          <w:rFonts w:hint="eastAsia" w:ascii="Times New Roman" w:hAnsi="Times New Roman"/>
          <w:b/>
          <w:szCs w:val="21"/>
        </w:rPr>
        <w:t>教育事业收入：</w:t>
      </w:r>
      <w:r>
        <w:rPr>
          <w:rFonts w:hint="eastAsia" w:ascii="Times New Roman" w:hAnsi="Times New Roman"/>
          <w:szCs w:val="21"/>
        </w:rPr>
        <w:t>指学校开展教育活动所取得的各项收入，包括上缴中央财政专户并回拨的收入和不上缴中央财政专户的收入总和。</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szCs w:val="21"/>
          <w:highlight w:val="yellow"/>
        </w:rPr>
        <w:t>经常性预算内事业费拨款</w:t>
      </w:r>
      <w:r>
        <w:rPr>
          <w:rFonts w:hint="eastAsia" w:ascii="Times New Roman" w:hAnsi="Times New Roman" w:cs="Times New Roman"/>
          <w:szCs w:val="21"/>
          <w:highlight w:val="yellow"/>
        </w:rPr>
        <w:t>：指205 类教育拨款扣除专项拨款。</w:t>
      </w:r>
    </w:p>
    <w:p>
      <w:pPr>
        <w:adjustRightInd w:val="0"/>
        <w:snapToGrid w:val="0"/>
        <w:spacing w:line="360" w:lineRule="auto"/>
      </w:pPr>
      <w:r>
        <w:rPr>
          <w:rFonts w:ascii="Times New Roman" w:hAnsi="Times New Roman" w:cs="Times New Roman"/>
          <w:b/>
          <w:szCs w:val="21"/>
        </w:rPr>
        <w:t>教改专项拨款：</w:t>
      </w:r>
      <w:r>
        <w:rPr>
          <w:rFonts w:ascii="Times New Roman" w:hAnsi="Times New Roman" w:cs="Times New Roman"/>
          <w:szCs w:val="21"/>
        </w:rPr>
        <w:t>通过本科教学改革与研究项目立项程序，获得的专项拨款经费。</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生均拨款</w:t>
      </w:r>
      <w:r>
        <w:rPr>
          <w:rFonts w:ascii="Times New Roman" w:hAnsi="Times New Roman" w:cs="Times New Roman"/>
          <w:szCs w:val="21"/>
        </w:rPr>
        <w:t>：指中央和地方财政通过一般预算安排用于支持高校发展的经费，按在校生人数折算的平均水平；包括基本支出和项目支出，不含中央财政安排的专项经费。</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其中：本科生生均拨款总额</w:t>
      </w:r>
      <w:r>
        <w:rPr>
          <w:rFonts w:ascii="Times New Roman" w:hAnsi="Times New Roman" w:cs="Times New Roman"/>
          <w:szCs w:val="21"/>
        </w:rPr>
        <w:t>：指按本科生在校生人数折算的拨款总额。</w:t>
      </w:r>
    </w:p>
    <w:p>
      <w:pPr>
        <w:adjustRightInd w:val="0"/>
        <w:snapToGrid w:val="0"/>
        <w:spacing w:line="360" w:lineRule="auto"/>
        <w:ind w:firstLine="620" w:firstLineChars="294"/>
        <w:rPr>
          <w:rFonts w:ascii="Times New Roman" w:hAnsi="Times New Roman" w:cs="Times New Roman"/>
          <w:b/>
          <w:szCs w:val="21"/>
        </w:rPr>
      </w:pPr>
      <w:r>
        <w:rPr>
          <w:rFonts w:ascii="Times New Roman" w:hAnsi="Times New Roman" w:cs="Times New Roman"/>
          <w:b/>
          <w:szCs w:val="21"/>
        </w:rPr>
        <w:t>专科生生均拨款总额</w:t>
      </w:r>
      <w:r>
        <w:rPr>
          <w:rFonts w:ascii="Times New Roman" w:hAnsi="Times New Roman" w:cs="Times New Roman"/>
          <w:szCs w:val="21"/>
        </w:rPr>
        <w:t>：指按专科生在校生人数折算的拨款总额。</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本科生学费收入：</w:t>
      </w:r>
      <w:r>
        <w:rPr>
          <w:rFonts w:ascii="Times New Roman" w:hAnsi="Times New Roman" w:cs="Times New Roman"/>
          <w:szCs w:val="21"/>
        </w:rPr>
        <w:t>指普通本科学费收入，即按照核准收费标准实际收取的本科生学费总额。只统计学费，不含住宿费、教材费等其他收费。</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高职高专学费收入</w:t>
      </w:r>
      <w:r>
        <w:rPr>
          <w:rFonts w:ascii="Times New Roman" w:hAnsi="Times New Roman" w:cs="Times New Roman"/>
          <w:szCs w:val="21"/>
        </w:rPr>
        <w:t>：指高职高专生的学费收入，即按照核准收费标准实际收取的高职高专生学费总额。</w:t>
      </w:r>
    </w:p>
    <w:p/>
    <w:sectPr>
      <w:pgSz w:w="16838" w:h="11906"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YzJmNTg5ZmYyNzMzMWM1YmNlYjQwZjUzNTcyYjMifQ=="/>
  </w:docVars>
  <w:rsids>
    <w:rsidRoot w:val="00000000"/>
    <w:rsid w:val="0FB31DBC"/>
    <w:rsid w:val="131126C6"/>
    <w:rsid w:val="159D1D6C"/>
    <w:rsid w:val="35E2482B"/>
    <w:rsid w:val="45315427"/>
    <w:rsid w:val="45E432D0"/>
    <w:rsid w:val="6C764A3E"/>
    <w:rsid w:val="6D586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autoRedefine/>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autoRedefine/>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6">
    <w:name w:val="列表段落2"/>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2024-07-23T07:54:00Z</dcterms:created>
  <dc:creator>ZP-P</dc:creator>
  <cp:lastModifiedBy>ZP-P</cp:lastModifiedBy>
  <dcterms:modified xsi:type="dcterms:W3CDTF">2024-07-23T08:14:17Z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564053B1A20B40FEB631DDABD590AB66_12</vt:lpwstr>
  </property>
</Properties>
</file>